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p>
    <w:p>
      <w:pPr>
        <w:spacing w:after="20" w:before="0"/>
        <w:jc w:val="center"/>
      </w:pPr>
      <w:r>
        <w:rPr>
          <w:rFonts w:ascii="Arial" w:cs="Arial" w:eastAsia="Arial" w:hAnsi="Arial"/>
          <w:b/>
          <w:bCs/>
          <w:color w:val="0C1828"/>
          <w:sz w:val="80"/>
          <w:szCs w:val="80"/>
        </w:rPr>
        <w:t xml:space="preserve">LF TOWER</w:t>
      </w:r>
    </w:p>
    <w:p>
      <w:pPr>
        <w:spacing w:after="20" w:before="0"/>
        <w:jc w:val="center"/>
      </w:pPr>
      <w:r>
        <w:rPr>
          <w:rFonts w:ascii="Arial" w:cs="Arial" w:eastAsia="Arial" w:hAnsi="Arial"/>
          <w:b/>
          <w:bCs/>
          <w:color w:val="CDA832"/>
          <w:sz w:val="32"/>
          <w:szCs w:val="32"/>
        </w:rPr>
        <w:t xml:space="preserve">BY IREC</w:t>
      </w:r>
    </w:p>
    <w:p>
      <w:pPr>
        <w:spacing w:after="40" w:before="0"/>
        <w:jc w:val="center"/>
      </w:pPr>
      <w:r>
        <w:rPr>
          <w:rFonts w:ascii="Arial" w:cs="Arial" w:eastAsia="Arial" w:hAnsi="Arial"/>
          <w:i/>
          <w:iCs/>
          <w:color w:val="4A4A4A"/>
          <w:sz w:val="26"/>
          <w:szCs w:val="26"/>
        </w:rPr>
        <w:t xml:space="preserve">28-Floor Luxury Mixed-Use Waterfront Development</w:t>
      </w:r>
    </w:p>
    <w:p>
      <w:pPr>
        <w:pBdr>
          <w:bottom w:val="single" w:color="CDA832" w:sz="8" w:space="2"/>
        </w:pBdr>
        <w:spacing w:after="0" w:before="0"/>
      </w:pPr>
    </w:p>
    <w:p>
      <w:pPr>
        <w:spacing w:after="0" w:before="40"/>
      </w:pPr>
    </w:p>
    <w:p>
      <w:pPr>
        <w:spacing w:after="16" w:before="0"/>
        <w:jc w:val="center"/>
      </w:pPr>
      <w:r>
        <w:rPr>
          <w:rFonts w:ascii="Arial" w:cs="Arial" w:eastAsia="Arial" w:hAnsi="Arial"/>
          <w:color w:val="888888"/>
          <w:sz w:val="24"/>
          <w:szCs w:val="24"/>
        </w:rPr>
        <w:t xml:space="preserve">Ganhi-Placodji Waterfront  ·  Cotonou, Republic of Benin</w:t>
      </w:r>
    </w:p>
    <w:p>
      <w:pPr>
        <w:spacing w:after="40" w:before="0"/>
        <w:jc w:val="center"/>
      </w:pPr>
      <w:r>
        <w:rPr>
          <w:rFonts w:ascii="Arial" w:cs="Arial" w:eastAsia="Arial" w:hAnsi="Arial"/>
          <w:color w:val="888888"/>
          <w:sz w:val="21"/>
          <w:szCs w:val="21"/>
        </w:rPr>
        <w:t xml:space="preserve">Investor Brief  ·  June 2026</w:t>
      </w:r>
    </w:p>
    <w:p>
      <w:pPr>
        <w:spacing w:after="0" w:before="40"/>
      </w:pPr>
    </w:p>
    <w:p>
      <w:pPr>
        <w:spacing w:after="16" w:before="0"/>
        <w:jc w:val="center"/>
      </w:pPr>
      <w:r>
        <w:rPr>
          <w:rFonts w:ascii="Arial" w:cs="Arial" w:eastAsia="Arial" w:hAnsi="Arial"/>
          <w:color w:val="888888"/>
          <w:sz w:val="21"/>
          <w:szCs w:val="21"/>
        </w:rPr>
        <w:t xml:space="preserve">Presented by IREC — A Branch of LF Holdings, LLC</w:t>
      </w:r>
    </w:p>
    <w:p>
      <w:pPr>
        <w:spacing w:after="0" w:before="40"/>
      </w:pPr>
    </w:p>
    <w:p>
      <w:pPr>
        <w:spacing w:after="60" w:before="60"/>
        <w:jc w:val="center"/>
      </w:pPr>
      <w:r>
        <w:rPr>
          <w:rFonts w:ascii="Arial" w:cs="Arial" w:eastAsia="Arial" w:hAnsi="Arial"/>
          <w:b/>
          <w:bCs/>
          <w:color w:val="888888"/>
          <w:spacing w:val="40"/>
          <w:sz w:val="17"/>
          <w:szCs w:val="17"/>
        </w:rPr>
        <w:t xml:space="preserve">STRICTLY CONFIDENTIAL — FOR QUALIFIED INVESTORS ONLY</w:t>
      </w:r>
    </w:p>
    <w:p>
      <w:pPr>
        <w:jc w:val="center"/>
      </w:pPr>
      <w:r>
        <w:rPr>
          <w:rFonts w:ascii="Arial" w:cs="Arial" w:eastAsia="Arial" w:hAnsi="Arial"/>
          <w:color w:val="8A6A10"/>
          <w:sz w:val="20"/>
          <w:szCs w:val="20"/>
        </w:rPr>
        <w:t xml:space="preserve">partnerships@lf-hold.com  ·  lf-hold.com  ·  +1 (307) 226-1876</w:t>
      </w:r>
    </w:p>
    <w:p>
      <w:pPr>
        <w:spacing w:after="0" w:before="600"/>
      </w:pPr>
    </w:p>
    <w:p>
      <w:r>
        <w:br w:type="page"/>
      </w:r>
    </w:p>
    <w:p>
      <w:pPr>
        <w:spacing w:after="60" w:before="240"/>
      </w:pPr>
      <w:r>
        <w:rPr>
          <w:rFonts w:ascii="Arial" w:cs="Arial" w:eastAsia="Arial" w:hAnsi="Arial"/>
          <w:b/>
          <w:bCs/>
          <w:color w:val="CDA832"/>
          <w:spacing w:val="80"/>
          <w:sz w:val="18"/>
          <w:szCs w:val="18"/>
        </w:rPr>
        <w:t xml:space="preserve">PROJECT AT A GLANCE</w:t>
      </w:r>
    </w:p>
    <w:p>
      <w:pPr>
        <w:spacing w:after="40" w:before="80"/>
      </w:pPr>
      <w:r>
        <w:rPr>
          <w:rFonts w:ascii="Arial" w:cs="Arial" w:eastAsia="Arial" w:hAnsi="Arial"/>
          <w:b/>
          <w:bCs/>
          <w:color w:val="0C1828"/>
          <w:sz w:val="36"/>
          <w:szCs w:val="36"/>
        </w:rPr>
        <w:t xml:space="preserve">LF Tower — Key Metrics</w:t>
      </w:r>
    </w:p>
    <w:p>
      <w:pPr>
        <w:pBdr>
          <w:bottom w:val="single" w:color="CDA832" w:sz="6" w:space="1"/>
        </w:pBdr>
        <w:spacing w:after="0" w:before="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3,243 m²</w:t>
            </w:r>
          </w:p>
          <w:p>
            <w:pPr>
              <w:jc w:val="center"/>
            </w:pPr>
            <w:r>
              <w:rPr>
                <w:rFonts w:ascii="Arial" w:cs="Arial" w:eastAsia="Arial" w:hAnsi="Arial"/>
                <w:color w:val="888888"/>
                <w:sz w:val="17"/>
                <w:szCs w:val="17"/>
              </w:rPr>
              <w:t xml:space="preserve">Prime Waterfront Site</w:t>
            </w:r>
          </w:p>
        </w:tc>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28F</w:t>
            </w:r>
          </w:p>
          <w:p>
            <w:pPr>
              <w:jc w:val="center"/>
            </w:pPr>
            <w:r>
              <w:rPr>
                <w:rFonts w:ascii="Arial" w:cs="Arial" w:eastAsia="Arial" w:hAnsi="Arial"/>
                <w:color w:val="888888"/>
                <w:sz w:val="17"/>
                <w:szCs w:val="17"/>
              </w:rPr>
              <w:t xml:space="preserve">Floors + 3 Underground</w:t>
            </w:r>
          </w:p>
        </w:tc>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~40,600 m²</w:t>
            </w:r>
          </w:p>
          <w:p>
            <w:pPr>
              <w:jc w:val="center"/>
            </w:pPr>
            <w:r>
              <w:rPr>
                <w:rFonts w:ascii="Arial" w:cs="Arial" w:eastAsia="Arial" w:hAnsi="Arial"/>
                <w:color w:val="888888"/>
                <w:sz w:val="17"/>
                <w:szCs w:val="17"/>
              </w:rPr>
              <w:t xml:space="preserve">Gross Floor Area</w:t>
            </w:r>
          </w:p>
        </w:tc>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$32.5M+</w:t>
            </w:r>
          </w:p>
          <w:p>
            <w:pPr>
              <w:jc w:val="center"/>
            </w:pPr>
            <w:r>
              <w:rPr>
                <w:rFonts w:ascii="Arial" w:cs="Arial" w:eastAsia="Arial" w:hAnsi="Arial"/>
                <w:color w:val="888888"/>
                <w:sz w:val="17"/>
                <w:szCs w:val="17"/>
              </w:rPr>
              <w:t xml:space="preserve">Residential Sellout Value</w:t>
            </w:r>
          </w:p>
        </w:tc>
      </w:tr>
    </w:tbl>
    <w:p>
      <w:pPr>
        <w:spacing w:after="0" w:before="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Q4 2026</w:t>
            </w:r>
          </w:p>
          <w:p>
            <w:pPr>
              <w:jc w:val="center"/>
            </w:pPr>
            <w:r>
              <w:rPr>
                <w:rFonts w:ascii="Arial" w:cs="Arial" w:eastAsia="Arial" w:hAnsi="Arial"/>
                <w:color w:val="888888"/>
                <w:sz w:val="17"/>
                <w:szCs w:val="17"/>
              </w:rPr>
              <w:t xml:space="preserve">Groundbreaking</w:t>
            </w:r>
          </w:p>
        </w:tc>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Q3 2029</w:t>
            </w:r>
          </w:p>
          <w:p>
            <w:pPr>
              <w:jc w:val="center"/>
            </w:pPr>
            <w:r>
              <w:rPr>
                <w:rFonts w:ascii="Arial" w:cs="Arial" w:eastAsia="Arial" w:hAnsi="Arial"/>
                <w:color w:val="888888"/>
                <w:sz w:val="17"/>
                <w:szCs w:val="17"/>
              </w:rPr>
              <w:t xml:space="preserve">Delivery</w:t>
            </w:r>
          </w:p>
        </w:tc>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7.5%</w:t>
            </w:r>
          </w:p>
          <w:p>
            <w:pPr>
              <w:jc w:val="center"/>
            </w:pPr>
            <w:r>
              <w:rPr>
                <w:rFonts w:ascii="Arial" w:cs="Arial" w:eastAsia="Arial" w:hAnsi="Arial"/>
                <w:color w:val="888888"/>
                <w:sz w:val="17"/>
                <w:szCs w:val="17"/>
              </w:rPr>
              <w:t xml:space="preserve">Benin GDP Growth (2024)</w:t>
            </w:r>
          </w:p>
        </w:tc>
        <w:tc>
          <w:tcPr>
            <w:tcBorders>
              <w:top w:val="single" w:color="E0D8C8" w:sz="1"/>
              <w:left w:val="single" w:color="E0D8C8" w:sz="1"/>
              <w:bottom w:val="single" w:color="E0D8C8" w:sz="1"/>
              <w:right w:val="single" w:color="E0D8C8" w:sz="1"/>
            </w:tcBorders>
            <w:shd w:fill="FAFAF8" w:val="clear"/>
            <w:tcMar>
              <w:top w:type="dxa" w:w="120"/>
              <w:left w:type="dxa" w:w="120"/>
              <w:bottom w:type="dxa" w:w="120"/>
              <w:right w:type="dxa" w:w="120"/>
            </w:tcMar>
            <w:vAlign w:val="center"/>
          </w:tcPr>
          <w:p>
            <w:pPr>
              <w:spacing w:after="20" w:before="0"/>
              <w:jc w:val="center"/>
            </w:pPr>
            <w:r>
              <w:rPr>
                <w:rFonts w:ascii="Arial" w:cs="Arial" w:eastAsia="Arial" w:hAnsi="Arial"/>
                <w:b/>
                <w:bCs/>
                <w:color w:val="8A6A10"/>
                <w:sz w:val="34"/>
                <w:szCs w:val="34"/>
              </w:rPr>
              <w:t xml:space="preserve">First</w:t>
            </w:r>
          </w:p>
          <w:p>
            <w:pPr>
              <w:jc w:val="center"/>
            </w:pPr>
            <w:r>
              <w:rPr>
                <w:rFonts w:ascii="Arial" w:cs="Arial" w:eastAsia="Arial" w:hAnsi="Arial"/>
                <w:color w:val="888888"/>
                <w:sz w:val="17"/>
                <w:szCs w:val="17"/>
              </w:rPr>
              <w:t xml:space="preserve">Mover in Market</w:t>
            </w:r>
          </w:p>
        </w:tc>
      </w:tr>
    </w:tbl>
    <w:p>
      <w:pPr>
        <w:spacing w:after="0" w:before="80"/>
      </w:pPr>
    </w:p>
    <w:p>
      <w:pPr>
        <w:spacing w:after="60" w:before="240"/>
      </w:pPr>
      <w:r>
        <w:rPr>
          <w:rFonts w:ascii="Arial" w:cs="Arial" w:eastAsia="Arial" w:hAnsi="Arial"/>
          <w:b/>
          <w:bCs/>
          <w:color w:val="CDA832"/>
          <w:spacing w:val="80"/>
          <w:sz w:val="18"/>
          <w:szCs w:val="18"/>
        </w:rPr>
        <w:t xml:space="preserve">INVESTMENT THESIS</w:t>
      </w:r>
    </w:p>
    <w:p>
      <w:pPr>
        <w:spacing w:after="40" w:before="80"/>
      </w:pPr>
      <w:r>
        <w:rPr>
          <w:rFonts w:ascii="Arial" w:cs="Arial" w:eastAsia="Arial" w:hAnsi="Arial"/>
          <w:b/>
          <w:bCs/>
          <w:color w:val="0C1828"/>
          <w:sz w:val="36"/>
          <w:szCs w:val="36"/>
        </w:rPr>
        <w:t xml:space="preserve">The One-Sentence Case</w:t>
      </w:r>
    </w:p>
    <w:p>
      <w:pPr>
        <w:pBdr>
          <w:bottom w:val="single" w:color="CDA832" w:sz="6" w:space="1"/>
        </w:pBdr>
        <w:spacing w:after="0" w:before="0"/>
      </w:pP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8D47A" w:sz="1"/>
              <w:left w:val="thick" w:color="CDA832" w:sz="20"/>
              <w:bottom w:val="single" w:color="E8D47A" w:sz="1"/>
              <w:right w:val="single" w:color="E8D47A" w:sz="1"/>
            </w:tcBorders>
            <w:shd w:fill="FBF5E0" w:val="clear"/>
            <w:tcMar>
              <w:top w:type="dxa" w:w="120"/>
              <w:left w:type="dxa" w:w="160"/>
              <w:bottom w:type="dxa" w:w="120"/>
              <w:right w:type="dxa" w:w="120"/>
            </w:tcMar>
          </w:tcPr>
          <w:p>
            <w:pPr>
              <w:spacing w:after="40" w:before="0"/>
            </w:pPr>
            <w:r>
              <w:rPr>
                <w:rFonts w:ascii="Arial" w:cs="Arial" w:eastAsia="Arial" w:hAnsi="Arial"/>
                <w:b/>
                <w:bCs/>
                <w:color w:val="8A6A10"/>
                <w:spacing w:val="60"/>
                <w:sz w:val="18"/>
                <w:szCs w:val="18"/>
              </w:rPr>
              <w:t xml:space="preserve">WHY LF TOWER</w:t>
            </w:r>
          </w:p>
          <w:p>
            <w:pPr>
              <w:jc w:val="both"/>
            </w:pPr>
            <w:r>
              <w:rPr>
                <w:rFonts w:ascii="Arial" w:cs="Arial" w:eastAsia="Arial" w:hAnsi="Arial"/>
                <w:color w:val="1A1A1A"/>
                <w:sz w:val="21"/>
                <w:szCs w:val="21"/>
              </w:rPr>
              <w:t xml:space="preserve">LF Tower is the first mover in a capital-starved market, positioned on the one irreplaceable waterfront address in Cotonou, with a government spending $9.7B on urban infrastructure — and zero comparable mixed-use product within 300 kilometres. The residential sellout alone generates $32.5M+ in gross proceeds on ~$18–20M in construction cost, funding the hotel and office components essentially at zero incremental investor cost.</w:t>
            </w:r>
          </w:p>
        </w:tc>
      </w:tr>
    </w:tbl>
    <w:p>
      <w:pPr>
        <w:spacing w:after="0" w:before="80"/>
      </w:pPr>
    </w:p>
    <w:p>
      <w:pPr>
        <w:spacing w:after="60" w:before="60"/>
        <w:jc w:val="both"/>
      </w:pPr>
      <w:r>
        <w:rPr>
          <w:rFonts w:ascii="Arial" w:cs="Arial" w:eastAsia="Arial" w:hAnsi="Arial"/>
          <w:b w:val="false"/>
          <w:bCs w:val="false"/>
          <w:i w:val="false"/>
          <w:iCs w:val="false"/>
          <w:color w:val="4A4A4A"/>
          <w:sz w:val="21"/>
          <w:szCs w:val="21"/>
        </w:rPr>
        <w:t xml:space="preserve">Cotonou is West Africa's most underserved institutional real estate market. Lagos, Abidjan, Accra, and Dakar all have multiple Class-A mixed-use towers. Cotonou — a city of 1 million that serves as the commercial capital of a $9B+ economy growing at 7.5% annually — has none. LF Tower is not competing with other projects. It is creating a category.</w:t>
      </w:r>
    </w:p>
    <w:p>
      <w:pPr>
        <w:spacing w:after="0" w:before="40"/>
      </w:pPr>
    </w:p>
    <w:p>
      <w:pPr>
        <w:spacing w:after="60" w:before="200"/>
      </w:pPr>
      <w:r>
        <w:rPr>
          <w:rFonts w:ascii="Arial" w:cs="Arial" w:eastAsia="Arial" w:hAnsi="Arial"/>
          <w:b/>
          <w:bCs/>
          <w:color w:val="0C1828"/>
          <w:sz w:val="26"/>
          <w:szCs w:val="26"/>
        </w:rPr>
        <w:t xml:space="preserve">Regional Competitive Benchmarking</w:t>
      </w:r>
    </w:p>
    <w:p>
      <w:pPr>
        <w:spacing w:after="60" w:before="60"/>
        <w:jc w:val="both"/>
      </w:pPr>
      <w:r>
        <w:rPr>
          <w:rFonts w:ascii="Arial" w:cs="Arial" w:eastAsia="Arial" w:hAnsi="Arial"/>
          <w:b w:val="false"/>
          <w:bCs w:val="false"/>
          <w:i w:val="false"/>
          <w:iCs w:val="false"/>
          <w:color w:val="4A4A4A"/>
          <w:sz w:val="21"/>
          <w:szCs w:val="21"/>
        </w:rPr>
        <w:t xml:space="preserve">Six comparable projects establish that LF Tower's pricing assumptions are conservative, not aggressive:</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Cerulean Towers, Lagos</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Residential: $3,500–$5,000/m². Office: $600–$800/m²/year. LF Tower targets $2,800–$3,800/m² residential — 20–30% discount for first-mover risk premium.</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LeonardoBySujimoto, Lagos</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$3,000–$4,500/m² residential. Demonstrating sustained demand for luxury product in Nigeria corridor.</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Tour F, Abidjan</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$2,500–$3,200/m² residential. Closest geographic comp. LF Tower pricing in-line or conservative vs. Abidjan market.</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Riviera Park, Abidjan</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Premium mixed-use; Class-A office at $500–$700/m²/year. Validates LF Tower office lease assumptions.</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Marine Drive, Accra</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$2,200–$2,800/m² residential. LF Tower slightly premium due to waterfront scarcity in Cotonou.</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The Signature, Accra</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Luxury mixed-use benchmark; similar scale to LF Tower. ROI validation.</w:t>
            </w:r>
          </w:p>
        </w:tc>
      </w:tr>
    </w:tbl>
    <w:p>
      <w:r>
        <w:br w:type="page"/>
      </w:r>
    </w:p>
    <w:p>
      <w:pPr>
        <w:spacing w:after="60" w:before="240"/>
      </w:pPr>
      <w:r>
        <w:rPr>
          <w:rFonts w:ascii="Arial" w:cs="Arial" w:eastAsia="Arial" w:hAnsi="Arial"/>
          <w:b/>
          <w:bCs/>
          <w:color w:val="CDA832"/>
          <w:spacing w:val="80"/>
          <w:sz w:val="18"/>
          <w:szCs w:val="18"/>
        </w:rPr>
        <w:t xml:space="preserve">BUILDING PROGRAM</w:t>
      </w:r>
    </w:p>
    <w:p>
      <w:pPr>
        <w:spacing w:after="40" w:before="80"/>
      </w:pPr>
      <w:r>
        <w:rPr>
          <w:rFonts w:ascii="Arial" w:cs="Arial" w:eastAsia="Arial" w:hAnsi="Arial"/>
          <w:b/>
          <w:bCs/>
          <w:color w:val="0C1828"/>
          <w:sz w:val="36"/>
          <w:szCs w:val="36"/>
        </w:rPr>
        <w:t xml:space="preserve">Floor-by-Floor Breakdown</w:t>
      </w:r>
    </w:p>
    <w:p>
      <w:pPr>
        <w:pBdr>
          <w:bottom w:val="single" w:color="CDA832" w:sz="6" w:space="1"/>
        </w:pBdr>
        <w:spacing w:after="0" w:before="0"/>
      </w:pP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B3–B1 (Underground, 3 levels)</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Parking: 500 spaces, 120 EV charging, bike storage, service bay. Revenue: monthly permits + hourly public.</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Ground Floor</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Dual lobby (Residential / Hotel+Office), esplanade, retail activated frontage. Revenue: retail lease income.</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F1–F2 (Podium Retail, 2 levels)</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Premium retail, F&amp;B, cinema, restaurants, bar, ballroom, conference center, supermarket. ~6,000 m². Revenue: base rent + % of revenue.</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F3–F9 (Class-A Office, 7 levels)</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F3–F5: large floor plates ~1,500 m². F6–F9: ~900 m² plates. Total ~8,100 m² NLA. Revenue: NNN lease.</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F10–F17 (Boutique Hotel, 8 levels)</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60 rooms, spa, gym, meeting rooms. ~4,800 m². Revenue: RevPAR / ADR hospitality model.</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F18–F26 (Residential, 9 levels)</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~54 luxury units (2–5BR), balconies, premium finishes. ~7,200 m². Revenue: condo sales + select rentals.</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F27 (Crown)</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Sky bar, infinity pool, rooftop restaurant, event terrace, solar array. ~800 m².</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TOTAL</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~40,600 m² gross / ~32,000 m² net leasable across 5 revenue streams.</w:t>
            </w:r>
          </w:p>
        </w:tc>
      </w:tr>
    </w:tbl>
    <w:p>
      <w:pPr>
        <w:spacing w:after="0" w:before="80"/>
      </w:pPr>
    </w:p>
    <w:p>
      <w:pPr>
        <w:spacing w:after="40" w:before="160"/>
      </w:pPr>
      <w:r>
        <w:rPr>
          <w:rFonts w:ascii="Arial" w:cs="Arial" w:eastAsia="Arial" w:hAnsi="Arial"/>
          <w:b/>
          <w:bCs/>
          <w:color w:val="8A6A10"/>
          <w:sz w:val="22"/>
          <w:szCs w:val="22"/>
        </w:rPr>
        <w:t xml:space="preserve">Sustainability</w:t>
      </w:r>
    </w:p>
    <w:p>
      <w:pPr>
        <w:spacing w:after="60" w:before="60"/>
        <w:jc w:val="both"/>
      </w:pPr>
      <w:r>
        <w:rPr>
          <w:rFonts w:ascii="Arial" w:cs="Arial" w:eastAsia="Arial" w:hAnsi="Arial"/>
          <w:b w:val="false"/>
          <w:bCs w:val="false"/>
          <w:i w:val="false"/>
          <w:iCs w:val="false"/>
          <w:color w:val="4A4A4A"/>
          <w:sz w:val="21"/>
          <w:szCs w:val="21"/>
        </w:rPr>
        <w:t xml:space="preserve">LF Tower will pursue EDGE (Excellence in Design for Greater Efficiencies) certification — the IFC-backed green building standard calibrated for West African climates. Solar-hybrid energy system, rainwater harvesting, and energy-efficient curtain wall glazing. Green certification is a prerequisite for IFC mezzanine participation and enhances pricing premium.</w:t>
      </w:r>
    </w:p>
    <w:p>
      <w:r>
        <w:br w:type="page"/>
      </w:r>
    </w:p>
    <w:p>
      <w:pPr>
        <w:spacing w:after="60" w:before="240"/>
      </w:pPr>
      <w:r>
        <w:rPr>
          <w:rFonts w:ascii="Arial" w:cs="Arial" w:eastAsia="Arial" w:hAnsi="Arial"/>
          <w:b/>
          <w:bCs/>
          <w:color w:val="CDA832"/>
          <w:spacing w:val="80"/>
          <w:sz w:val="18"/>
          <w:szCs w:val="18"/>
        </w:rPr>
        <w:t xml:space="preserve">FINANCIAL SUMMARY</w:t>
      </w:r>
    </w:p>
    <w:p>
      <w:pPr>
        <w:spacing w:after="40" w:before="80"/>
      </w:pPr>
      <w:r>
        <w:rPr>
          <w:rFonts w:ascii="Arial" w:cs="Arial" w:eastAsia="Arial" w:hAnsi="Arial"/>
          <w:b/>
          <w:bCs/>
          <w:color w:val="0C1828"/>
          <w:sz w:val="36"/>
          <w:szCs w:val="36"/>
        </w:rPr>
        <w:t xml:space="preserve">Revenue Streams &amp; Returns</w:t>
      </w:r>
    </w:p>
    <w:p>
      <w:pPr>
        <w:pBdr>
          <w:bottom w:val="single" w:color="CDA832" w:sz="6" w:space="1"/>
        </w:pBdr>
        <w:spacing w:after="0" w:before="0"/>
      </w:pPr>
    </w:p>
    <w:p>
      <w:pPr>
        <w:spacing w:after="0" w:before="60"/>
      </w:pPr>
    </w:p>
    <w:p>
      <w:pPr>
        <w:spacing w:after="40" w:before="160"/>
      </w:pPr>
      <w:r>
        <w:rPr>
          <w:rFonts w:ascii="Arial" w:cs="Arial" w:eastAsia="Arial" w:hAnsi="Arial"/>
          <w:b/>
          <w:bCs/>
          <w:color w:val="8A6A10"/>
          <w:sz w:val="22"/>
          <w:szCs w:val="22"/>
        </w:rPr>
        <w:t xml:space="preserve">Revenue Architecture — Five Streams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Residential Sales (Primary Engine)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54 units × avg. 133 m² × $3,300/m² (mid-range) = $23.7M base. Range: $2,800–$3,800/m² × 7,200 m² = $20.2M–$27.4M gross. Target: $32.5M including premium floors and amenity premiums.</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Class-A Office (Recurring)</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~8,100 m² NLA × $500–$700/m²/year = $4.0–$5.7M annual lease income at stabilization. NNN leases; tenant fit-out at tenant cost.</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Boutique Hotel (Stabilized)</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60 rooms, ADR $180–$220, 70% occupancy = RevPAR $126–$154. Annual hotel revenue at stabilization: $2.8M–$3.4M.</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Retail &amp; F&amp;B (Ground + Podium)</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~6,000 m² at $300–$450/m²/year base rent = $1.8M–$2.7M annual. Plus % of F&amp;B turnover.</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Parking (Steady State)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500 spaces. Monthly permits ($80–$120/space) + hourly public. Estimated $600K–$900K annual.</w:t>
            </w:r>
          </w:p>
        </w:tc>
      </w:tr>
    </w:tbl>
    <w:p>
      <w:pPr>
        <w:spacing w:after="0" w:before="60"/>
      </w:pPr>
    </w:p>
    <w:p>
      <w:pPr>
        <w:spacing w:after="40" w:before="160"/>
      </w:pPr>
      <w:r>
        <w:rPr>
          <w:rFonts w:ascii="Arial" w:cs="Arial" w:eastAsia="Arial" w:hAnsi="Arial"/>
          <w:b/>
          <w:bCs/>
          <w:color w:val="8A6A10"/>
          <w:sz w:val="22"/>
          <w:szCs w:val="22"/>
        </w:rPr>
        <w:t xml:space="preserve">Development Cost Estimate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Land (3,243 m² prime waterfront)</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To be confirmed — prime Ganhi-Placodji valuation pending formal appraisal</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Construction (CAPEX)</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~$18–20M — steel+concrete structure, curtain wall, MEP systems. West Africa construction cost $450–$550/m² for high-rise.</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Hotel FF&amp;E &amp; Fit-Out</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~$2.5M — boutique hotel at $40K/key × 60 rooms</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Residential Finishing (premium)</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~$3.2M — luxury fit-out package for all 54 units</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Solar-Hybrid System</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~$1.2M — rooftop solar array + hybrid grid system for EDGE certification</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Soft Costs (design, legal, permits)</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~$3.5M — architect (Kéré or equivalent), engineers, EDGE certification, OHADA legal</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Contingency (10%)</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~$3.0M</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Total Estimated Development Cost</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~$32–34M (excluding land)</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8D47A" w:sz="1"/>
              <w:left w:val="thick" w:color="CDA832" w:sz="20"/>
              <w:bottom w:val="single" w:color="E8D47A" w:sz="1"/>
              <w:right w:val="single" w:color="E8D47A" w:sz="1"/>
            </w:tcBorders>
            <w:shd w:fill="FBF5E0" w:val="clear"/>
            <w:tcMar>
              <w:top w:type="dxa" w:w="120"/>
              <w:left w:type="dxa" w:w="160"/>
              <w:bottom w:type="dxa" w:w="120"/>
              <w:right w:type="dxa" w:w="120"/>
            </w:tcMar>
          </w:tcPr>
          <w:p>
            <w:pPr>
              <w:spacing w:after="40" w:before="0"/>
            </w:pPr>
            <w:r>
              <w:rPr>
                <w:rFonts w:ascii="Arial" w:cs="Arial" w:eastAsia="Arial" w:hAnsi="Arial"/>
                <w:b/>
                <w:bCs/>
                <w:color w:val="8A6A10"/>
                <w:spacing w:val="60"/>
                <w:sz w:val="18"/>
                <w:szCs w:val="18"/>
              </w:rPr>
              <w:t xml:space="preserve">FIRST-MOVER ECONOMICS</w:t>
            </w:r>
          </w:p>
          <w:p>
            <w:pPr>
              <w:jc w:val="both"/>
            </w:pPr>
            <w:r>
              <w:rPr>
                <w:rFonts w:ascii="Arial" w:cs="Arial" w:eastAsia="Arial" w:hAnsi="Arial"/>
                <w:color w:val="1A1A1A"/>
                <w:sz w:val="21"/>
                <w:szCs w:val="21"/>
              </w:rPr>
              <w:t xml:space="preserve">The residential sellout ($32.5M+) covers total estimated development cost. This means the hotel, office, retail, and parking components are developed at net zero additional investor cost — and generate an estimated $9–12M in stabilized annual recurring revenue from Year 3 onward. This is the LF Tower investment thesis in a single sentence.</w:t>
            </w:r>
          </w:p>
        </w:tc>
      </w:tr>
    </w:tbl>
    <w:p>
      <w:r>
        <w:br w:type="page"/>
      </w:r>
    </w:p>
    <w:p>
      <w:pPr>
        <w:spacing w:after="60" w:before="240"/>
      </w:pPr>
      <w:r>
        <w:rPr>
          <w:rFonts w:ascii="Arial" w:cs="Arial" w:eastAsia="Arial" w:hAnsi="Arial"/>
          <w:b/>
          <w:bCs/>
          <w:color w:val="CDA832"/>
          <w:spacing w:val="80"/>
          <w:sz w:val="18"/>
          <w:szCs w:val="18"/>
        </w:rPr>
        <w:t xml:space="preserve">CAPITAL STRUCTURE</w:t>
      </w:r>
    </w:p>
    <w:p>
      <w:pPr>
        <w:spacing w:after="40" w:before="80"/>
      </w:pPr>
      <w:r>
        <w:rPr>
          <w:rFonts w:ascii="Arial" w:cs="Arial" w:eastAsia="Arial" w:hAnsi="Arial"/>
          <w:b/>
          <w:bCs/>
          <w:color w:val="0C1828"/>
          <w:sz w:val="36"/>
          <w:szCs w:val="36"/>
        </w:rPr>
        <w:t xml:space="preserve">Proposed Financing</w:t>
      </w:r>
    </w:p>
    <w:p>
      <w:pPr>
        <w:pBdr>
          <w:bottom w:val="single" w:color="CDA832" w:sz="6" w:space="1"/>
        </w:pBdr>
        <w:spacing w:after="0" w:before="0"/>
      </w:pPr>
    </w:p>
    <w:p>
      <w:pPr>
        <w:spacing w:after="0" w:before="60"/>
      </w:pPr>
    </w:p>
    <w:p>
      <w:pPr>
        <w:spacing w:after="60" w:before="60"/>
        <w:jc w:val="both"/>
      </w:pPr>
      <w:r>
        <w:rPr>
          <w:rFonts w:ascii="Arial" w:cs="Arial" w:eastAsia="Arial" w:hAnsi="Arial"/>
          <w:b w:val="false"/>
          <w:bCs w:val="false"/>
          <w:i w:val="false"/>
          <w:iCs w:val="false"/>
          <w:color w:val="4A4A4A"/>
          <w:sz w:val="21"/>
          <w:szCs w:val="21"/>
        </w:rPr>
        <w:t xml:space="preserve">LF Tower is structured to attract a combination of equity, mezzanine, and senior construction financing — with the residential pre-sales program serving as the primary de-risking instrument:</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Equity (30–35%)</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~$10–12M — IREC/LF Holdings, co-investors, diaspora equity. Provides first-loss protection. Returns: equity upside + promoted interest on residential sellout.</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Mezzanine (15–20%)</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~$5–7M — IFC, Proparco, or impact-focused mezz lenders. Returns: 12–15% preferred return + equity kicker. IFC has $60.8M active Benin portfolio; existing relationship.</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Senior Construction Loan (45–50%)</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~$15–17M — Ecobank, Société Générale Benin, Standard Chartered West Africa. Secured against land title and pre-sales contracts. Released in tranches against construction milestones.</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Pre-Sales Deposits (de-risking)</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Target 30–40% of residential units pre-sold before groundbreaking ($6–10M in deposits). Reduces senior debt requirement and validates pricing assumptions.</w:t>
            </w:r>
          </w:p>
        </w:tc>
      </w:tr>
    </w:tbl>
    <w:p>
      <w:pPr>
        <w:spacing w:after="0" w:before="60"/>
      </w:pPr>
    </w:p>
    <w:p>
      <w:pPr>
        <w:spacing w:after="40" w:before="160"/>
      </w:pPr>
      <w:r>
        <w:rPr>
          <w:rFonts w:ascii="Arial" w:cs="Arial" w:eastAsia="Arial" w:hAnsi="Arial"/>
          <w:b/>
          <w:bCs/>
          <w:color w:val="8A6A10"/>
          <w:sz w:val="22"/>
          <w:szCs w:val="22"/>
        </w:rPr>
        <w:t xml:space="preserve">Target Financing Partners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IFC (Mezzanine)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Active $60.8M Benin portfolio; EUR 20M committed to Benin Terminal (Nov 2024). EDGE certification aligns with IFC climate mandate.</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Proparco (Mezzanine / Equity)</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French DFI active in West African real estate; existing BRVM relationships; strong appetite for Francophone markets.</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DEG (Equity / Mezzanine)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German DFI; active in Côte d'Ivoire and Senegal real estate; Benin expansion.</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Ecobank Benin (Senior)</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Largest pan-African bank in Cotonou; appetite for landmark projects with IFC co-financing.</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Actis / Grit REIT (Equity)</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Pan-African real estate PE funds with demonstrated appetite for first-mover luxury mixed-use.</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Diaspora Investors (Equity)</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Beninese diaspora in France (200K+), US, and Canada. Strong interest in Cotonou landmark project. Access via DUPM &amp; Co. diaspora network.</w:t>
            </w:r>
          </w:p>
        </w:tc>
      </w:tr>
    </w:tbl>
    <w:p>
      <w:r>
        <w:br w:type="page"/>
      </w:r>
    </w:p>
    <w:p>
      <w:pPr>
        <w:spacing w:after="60" w:before="240"/>
      </w:pPr>
      <w:r>
        <w:rPr>
          <w:rFonts w:ascii="Arial" w:cs="Arial" w:eastAsia="Arial" w:hAnsi="Arial"/>
          <w:b/>
          <w:bCs/>
          <w:color w:val="CDA832"/>
          <w:spacing w:val="80"/>
          <w:sz w:val="18"/>
          <w:szCs w:val="18"/>
        </w:rPr>
        <w:t xml:space="preserve">MARKET CONTEXT</w:t>
      </w:r>
    </w:p>
    <w:p>
      <w:pPr>
        <w:spacing w:after="40" w:before="80"/>
      </w:pPr>
      <w:r>
        <w:rPr>
          <w:rFonts w:ascii="Arial" w:cs="Arial" w:eastAsia="Arial" w:hAnsi="Arial"/>
          <w:b/>
          <w:bCs/>
          <w:color w:val="0C1828"/>
          <w:sz w:val="36"/>
          <w:szCs w:val="36"/>
        </w:rPr>
        <w:t xml:space="preserve">Benin &amp; Cotonou — Why Now</w:t>
      </w:r>
    </w:p>
    <w:p>
      <w:pPr>
        <w:pBdr>
          <w:bottom w:val="single" w:color="CDA832" w:sz="6" w:space="1"/>
        </w:pBdr>
        <w:spacing w:after="0" w:before="0"/>
      </w:pP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GDP Growth (2024)</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7.5% — IMF confirmed, driven by port, construction, services</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Government Infrastructure ($)</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$9.7B PAG I &amp; II combined; $35B total committed investment</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GDIZ (Glo-Djigbé Industrial Zone)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14,000+ jobs created; validates government execution capacity</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Port of Cotonou Modernization</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Ongoing — $600M+ investment; gateway for 9 landlocked countries</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Sèmè City Innovation Hub</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Government-backed innovation district adjacent to business zone</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World Bank Package (Nov 2024)</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EUR 635.5M approved financing — macroeconomic credibility signal</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IFC Benin Portfolio (2024)</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$60.8M active — existing DFI relationship infrastructure to leverage</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Investment Code Incentives</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5–8 year CIT holiday; import duty exemption on construction equipment; unrestricted repatriation of profits in USD/EUR</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Comparable Supply</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Zero institutional-grade mixed-use towers within 300 km. First-mover advantage is structural, not circumstantial.</w:t>
            </w:r>
          </w:p>
        </w:tc>
      </w:tr>
    </w:tbl>
    <w:p>
      <w:r>
        <w:br w:type="page"/>
      </w:r>
    </w:p>
    <w:p>
      <w:pPr>
        <w:spacing w:after="60" w:before="240"/>
      </w:pPr>
      <w:r>
        <w:rPr>
          <w:rFonts w:ascii="Arial" w:cs="Arial" w:eastAsia="Arial" w:hAnsi="Arial"/>
          <w:b/>
          <w:bCs/>
          <w:color w:val="CDA832"/>
          <w:spacing w:val="80"/>
          <w:sz w:val="18"/>
          <w:szCs w:val="18"/>
        </w:rPr>
        <w:t xml:space="preserve">LEGAL &amp; GOVERNANCE</w:t>
      </w:r>
    </w:p>
    <w:p>
      <w:pPr>
        <w:spacing w:after="40" w:before="80"/>
      </w:pPr>
      <w:r>
        <w:rPr>
          <w:rFonts w:ascii="Arial" w:cs="Arial" w:eastAsia="Arial" w:hAnsi="Arial"/>
          <w:b/>
          <w:bCs/>
          <w:color w:val="0C1828"/>
          <w:sz w:val="36"/>
          <w:szCs w:val="36"/>
        </w:rPr>
        <w:t xml:space="preserve">Entity Structure &amp; Benin Law</w:t>
      </w:r>
    </w:p>
    <w:p>
      <w:pPr>
        <w:pBdr>
          <w:bottom w:val="single" w:color="CDA832" w:sz="6" w:space="1"/>
        </w:pBdr>
        <w:spacing w:after="0" w:before="0"/>
      </w:pPr>
    </w:p>
    <w:p>
      <w:pPr>
        <w:spacing w:after="0" w:before="60"/>
      </w:pPr>
    </w:p>
    <w:p>
      <w:pPr>
        <w:spacing w:after="60" w:before="60"/>
        <w:jc w:val="both"/>
      </w:pPr>
      <w:r>
        <w:rPr>
          <w:rFonts w:ascii="Arial" w:cs="Arial" w:eastAsia="Arial" w:hAnsi="Arial"/>
          <w:b w:val="false"/>
          <w:bCs w:val="false"/>
          <w:i w:val="false"/>
          <w:iCs w:val="false"/>
          <w:color w:val="4A4A4A"/>
          <w:sz w:val="21"/>
          <w:szCs w:val="21"/>
        </w:rPr>
        <w:t xml:space="preserve">LF Tower is developed through a layered legal structure designed to separate public-interest elements from commercial operations and facilitate DFI financing:</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Benin Project SPE (SA)</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Holds land title and all real property under OHADA law. Issues equity and bonds. Counterparty to the senior construction loan.</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Operating Sub-SPEs</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Separate Benin SARLs for (a) Residential Sales, (b) Commercial Leasing, (c) Hotel Operations. Ring-fencing, simplified accounting, flexible exit options per component.</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US Holding Entity</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LF Holdings, LLC (Wyoming) maintains beneficial ownership at the top of the structure — enabling US-based investors and diaspora to invest in a familiar jurisdiction.</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OHADA Compliance</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All entities governed by OHADA Uniform Acts on Commercial Companies — the common business law framework across 17 West/Central African nations. Enforceable and internationally recognized.</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Benin Investment Code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Qualifies for 5–8 year CIT holiday, import duty exemptions on construction materials and equipment, reduced 15% CIT rate (vs. standard 30%) for 10–15 years post-holiday, unrestricted repatriation.</w:t>
            </w:r>
          </w:p>
        </w:tc>
      </w:tr>
    </w:tbl>
    <w:p>
      <w:r>
        <w:br w:type="page"/>
      </w:r>
    </w:p>
    <w:p>
      <w:pPr>
        <w:spacing w:after="60" w:before="240"/>
      </w:pPr>
      <w:r>
        <w:rPr>
          <w:rFonts w:ascii="Arial" w:cs="Arial" w:eastAsia="Arial" w:hAnsi="Arial"/>
          <w:b/>
          <w:bCs/>
          <w:color w:val="CDA832"/>
          <w:spacing w:val="80"/>
          <w:sz w:val="18"/>
          <w:szCs w:val="18"/>
        </w:rPr>
        <w:t xml:space="preserve">HOW TO ENGAGE</w:t>
      </w:r>
    </w:p>
    <w:p>
      <w:pPr>
        <w:spacing w:after="40" w:before="80"/>
      </w:pPr>
      <w:r>
        <w:rPr>
          <w:rFonts w:ascii="Arial" w:cs="Arial" w:eastAsia="Arial" w:hAnsi="Arial"/>
          <w:b/>
          <w:bCs/>
          <w:color w:val="0C1828"/>
          <w:sz w:val="36"/>
          <w:szCs w:val="36"/>
        </w:rPr>
        <w:t xml:space="preserve">Request Full Investment Proposal</w:t>
      </w:r>
    </w:p>
    <w:p>
      <w:pPr>
        <w:pBdr>
          <w:bottom w:val="single" w:color="CDA832" w:sz="6" w:space="1"/>
        </w:pBdr>
        <w:spacing w:after="0" w:before="0"/>
      </w:pPr>
    </w:p>
    <w:p>
      <w:pPr>
        <w:spacing w:after="0" w:before="60"/>
      </w:pPr>
    </w:p>
    <w:p>
      <w:pPr>
        <w:spacing w:after="60" w:before="60"/>
        <w:jc w:val="both"/>
      </w:pPr>
      <w:r>
        <w:rPr>
          <w:rFonts w:ascii="Arial" w:cs="Arial" w:eastAsia="Arial" w:hAnsi="Arial"/>
          <w:b w:val="false"/>
          <w:bCs w:val="false"/>
          <w:i w:val="false"/>
          <w:iCs w:val="false"/>
          <w:color w:val="4A4A4A"/>
          <w:sz w:val="21"/>
          <w:szCs w:val="21"/>
        </w:rPr>
        <w:t xml:space="preserve">This Investor Brief is a summary document. The complete LF Tower Investment Proposal includes detailed financial models (5-year cash flow, IRR sensitivity analysis, scenario modeling), architectural program specifications, site documentation, full legal structure memorandum, DFI engagement strategy, and precedent transaction analysis.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8D47A" w:sz="1"/>
              <w:left w:val="thick" w:color="CDA832" w:sz="20"/>
              <w:bottom w:val="single" w:color="E8D47A" w:sz="1"/>
              <w:right w:val="single" w:color="E8D47A" w:sz="1"/>
            </w:tcBorders>
            <w:shd w:fill="FBF5E0" w:val="clear"/>
            <w:tcMar>
              <w:top w:type="dxa" w:w="120"/>
              <w:left w:type="dxa" w:w="160"/>
              <w:bottom w:type="dxa" w:w="120"/>
              <w:right w:type="dxa" w:w="120"/>
            </w:tcMar>
          </w:tcPr>
          <w:p>
            <w:pPr>
              <w:spacing w:after="40" w:before="0"/>
            </w:pPr>
            <w:r>
              <w:rPr>
                <w:rFonts w:ascii="Arial" w:cs="Arial" w:eastAsia="Arial" w:hAnsi="Arial"/>
                <w:b/>
                <w:bCs/>
                <w:color w:val="8A6A10"/>
                <w:spacing w:val="60"/>
                <w:sz w:val="18"/>
                <w:szCs w:val="18"/>
              </w:rPr>
              <w:t xml:space="preserve">FOR QUALIFIED INVESTORS</w:t>
            </w:r>
          </w:p>
          <w:p>
            <w:pPr>
              <w:jc w:val="both"/>
            </w:pPr>
            <w:r>
              <w:rPr>
                <w:rFonts w:ascii="Arial" w:cs="Arial" w:eastAsia="Arial" w:hAnsi="Arial"/>
                <w:color w:val="1A1A1A"/>
                <w:sz w:val="21"/>
                <w:szCs w:val="21"/>
              </w:rPr>
              <w:t xml:space="preserve">To receive the full LF Tower Investment Proposal, please contact us at partnerships@lf-hold.com with your name, organization, and investment interest. Documents are shared under NDA to qualified institutional and private investors. We welcome investor calls and can arrange site visits to Cotonou with 48-hour notice.</w:t>
            </w:r>
          </w:p>
        </w:tc>
      </w:tr>
    </w:tbl>
    <w:p>
      <w:pPr>
        <w:spacing w:after="0" w:before="80"/>
      </w:pPr>
    </w:p>
    <w:p>
      <w:pPr>
        <w:spacing w:after="40" w:before="160"/>
      </w:pPr>
      <w:r>
        <w:rPr>
          <w:rFonts w:ascii="Arial" w:cs="Arial" w:eastAsia="Arial" w:hAnsi="Arial"/>
          <w:b/>
          <w:bCs/>
          <w:color w:val="8A6A10"/>
          <w:sz w:val="22"/>
          <w:szCs w:val="22"/>
        </w:rPr>
        <w:t xml:space="preserve">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Email (Investor Relations)</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partnerships@lf-hold.com</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Email (General)</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contact@lf-hold.com</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Website</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lf-hold.com  ·  IREC section under Portfolio</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Phone</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+ 1 (307) 226-1876</w:t>
            </w:r>
          </w:p>
        </w:tc>
      </w:tr>
      <w:tr>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b/>
                <w:bCs/>
                <w:color w:val="0C1828"/>
                <w:sz w:val="20"/>
                <w:szCs w:val="20"/>
              </w:rPr>
              <w:t xml:space="preserve">On-Ground (Cotonou)</w:t>
            </w:r>
          </w:p>
        </w:tc>
        <w:tc>
          <w:tcPr>
            <w:tcBorders>
              <w:top w:val="single" w:color="E0D8C8" w:sz="1"/>
              <w:left w:val="single" w:color="E0D8C8" w:sz="1"/>
              <w:bottom w:val="single" w:color="E0D8C8" w:sz="1"/>
              <w:right w:val="single" w:color="E0D8C8" w:sz="1"/>
            </w:tcBorders>
            <w:shd w:fill="FAFAF8" w:val="clear"/>
            <w:tcMar>
              <w:top w:type="dxa" w:w="80"/>
              <w:left w:type="dxa" w:w="120"/>
              <w:bottom w:type="dxa" w:w="80"/>
              <w:right w:type="dxa" w:w="80"/>
            </w:tcMar>
          </w:tcPr>
          <w:p>
            <w:r>
              <w:rPr>
                <w:rFonts w:ascii="Arial" w:cs="Arial" w:eastAsia="Arial" w:hAnsi="Arial"/>
                <w:color w:val="4A4A4A"/>
                <w:sz w:val="20"/>
                <w:szCs w:val="20"/>
              </w:rPr>
              <w:t xml:space="preserve">Available within 48 hours at project site — Ganhi-Placodji waterfront</w:t>
            </w:r>
          </w:p>
        </w:tc>
      </w:tr>
      <w:tr>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b/>
                <w:bCs/>
                <w:color w:val="0C1828"/>
                <w:sz w:val="20"/>
                <w:szCs w:val="20"/>
              </w:rPr>
              <w:t xml:space="preserve">DUPM &amp; Co.</w:t>
            </w:r>
          </w:p>
        </w:tc>
        <w:tc>
          <w:tcPr>
            <w:tcBorders>
              <w:top w:val="single" w:color="E0D8C8" w:sz="1"/>
              <w:left w:val="single" w:color="E0D8C8" w:sz="1"/>
              <w:bottom w:val="single" w:color="E0D8C8" w:sz="1"/>
              <w:right w:val="single" w:color="E0D8C8" w:sz="1"/>
            </w:tcBorders>
            <w:shd w:fill="FFFFFF" w:val="clear"/>
            <w:tcMar>
              <w:top w:type="dxa" w:w="80"/>
              <w:left w:type="dxa" w:w="120"/>
              <w:bottom w:type="dxa" w:w="80"/>
              <w:right w:type="dxa" w:w="80"/>
            </w:tcMar>
          </w:tcPr>
          <w:p>
            <w:r>
              <w:rPr>
                <w:rFonts w:ascii="Arial" w:cs="Arial" w:eastAsia="Arial" w:hAnsi="Arial"/>
                <w:color w:val="4A4A4A"/>
                <w:sz w:val="20"/>
                <w:szCs w:val="20"/>
              </w:rPr>
              <w:t xml:space="preserve">partnership@dupmco.com — Francophone West Africa network access</w:t>
            </w:r>
          </w:p>
        </w:tc>
      </w:tr>
    </w:tbl>
    <w:p>
      <w:pPr>
        <w:spacing w:after="0" w:before="80"/>
      </w:pPr>
    </w:p>
    <w:p>
      <w:pPr>
        <w:spacing w:after="60" w:before="60"/>
        <w:jc w:val="center"/>
      </w:pPr>
      <w:r>
        <w:rPr>
          <w:rFonts w:ascii="Arial" w:cs="Arial" w:eastAsia="Arial" w:hAnsi="Arial"/>
          <w:b/>
          <w:bCs/>
          <w:color w:val="888888"/>
          <w:spacing w:val="40"/>
          <w:sz w:val="17"/>
          <w:szCs w:val="17"/>
        </w:rPr>
        <w:t xml:space="preserve">STRICTLY CONFIDENTIAL — FOR QUALIFIED INVESTORS ONLY</w:t>
      </w:r>
    </w:p>
    <w:p>
      <w:pPr>
        <w:spacing w:after="60" w:before="60"/>
        <w:jc w:val="center"/>
      </w:pPr>
      <w:r>
        <w:rPr>
          <w:rFonts w:ascii="Arial" w:cs="Arial" w:eastAsia="Arial" w:hAnsi="Arial"/>
          <w:b w:val="false"/>
          <w:bCs w:val="false"/>
          <w:i w:val="false"/>
          <w:iCs w:val="false"/>
          <w:color w:val="888888"/>
          <w:sz w:val="18"/>
          <w:szCs w:val="18"/>
        </w:rPr>
        <w:t xml:space="preserve">© 2026 LF Holdings, LLC / IREC. All rights reserved. This document is for informational purposes only and does not constitute an offer to sell or solicitation to buy any security or real estate interest. Financial projections are estimates based on modeling and benchmarking; they do not constitute a guarantee of returns. Prospective investors should conduct their own due diligence.</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2026-06-10T13:28:34.224Z</dcterms:created>
  <dcterms:modified xsi:type="dcterms:W3CDTF">2026-06-10T13:28:34.224Z</dcterms:modified>
</cp:coreProperties>
</file>

<file path=docProps/custom.xml><?xml version="1.0" encoding="utf-8"?>
<Properties xmlns="http://schemas.openxmlformats.org/officeDocument/2006/custom-properties" xmlns:vt="http://schemas.openxmlformats.org/officeDocument/2006/docPropsVTypes"/>
</file>