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600"/>
      </w:pPr>
    </w:p>
    <w:p>
      <w:pPr>
        <w:spacing w:after="20" w:before="0"/>
        <w:jc w:val="center"/>
      </w:pPr>
      <w:r>
        <w:rPr>
          <w:rFonts w:ascii="Arial" w:cs="Arial" w:eastAsia="Arial" w:hAnsi="Arial"/>
          <w:b/>
          <w:bCs/>
          <w:color w:val="CDA832"/>
          <w:spacing w:val="60"/>
          <w:sz w:val="28"/>
          <w:szCs w:val="28"/>
        </w:rPr>
        <w:t xml:space="preserve">INNOVATION &amp; ECONOMIC COMPETITIVENESS INITIATIVE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0C1828"/>
          <w:sz w:val="72"/>
          <w:szCs w:val="72"/>
        </w:rPr>
        <w:t xml:space="preserve">IECI</w:t>
      </w: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4A4A4A"/>
          <w:sz w:val="28"/>
          <w:szCs w:val="28"/>
        </w:rPr>
        <w:t xml:space="preserve">West Africa Multi-Hub Innovation &amp; Industrial Ecosystem</w:t>
      </w:r>
    </w:p>
    <w:p>
      <w:pPr>
        <w:pBdr>
          <w:bottom w:val="single" w:color="CDA832" w:sz="8" w:space="2"/>
        </w:pBdr>
        <w:spacing w:after="0" w:before="0"/>
      </w:pPr>
    </w:p>
    <w:p>
      <w:pPr>
        <w:spacing w:after="0" w:before="60"/>
      </w:pPr>
    </w:p>
    <w:p>
      <w:pPr>
        <w:spacing w:after="20" w:before="0"/>
        <w:jc w:val="center"/>
      </w:pPr>
      <w:r>
        <w:rPr>
          <w:rFonts w:ascii="Arial" w:cs="Arial" w:eastAsia="Arial" w:hAnsi="Arial"/>
          <w:color w:val="888888"/>
          <w:sz w:val="24"/>
          <w:szCs w:val="24"/>
        </w:rPr>
        <w:t xml:space="preserve">Investor Brief</w:t>
      </w:r>
    </w:p>
    <w:p>
      <w:pPr>
        <w:spacing w:after="20" w:before="0"/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A Program of I&amp;DP — Innovation and Development Platform for Africa</w:t>
      </w:r>
    </w:p>
    <w:p>
      <w:pPr>
        <w:spacing w:after="20" w:before="0"/>
        <w:jc w:val="center"/>
      </w:pPr>
      <w:r>
        <w:rPr>
          <w:rFonts w:ascii="Arial" w:cs="Arial" w:eastAsia="Arial" w:hAnsi="Arial"/>
          <w:color w:val="888888"/>
          <w:sz w:val="21"/>
          <w:szCs w:val="21"/>
        </w:rPr>
        <w:t xml:space="preserve">Under LF Holdings, LLC  ·  Sponsored by DAKIMO Investment</w:t>
      </w:r>
    </w:p>
    <w:p>
      <w:pPr>
        <w:spacing w:after="0" w:before="60"/>
      </w:pPr>
    </w:p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color w:val="888888"/>
          <w:spacing w:val="40"/>
          <w:sz w:val="17"/>
          <w:szCs w:val="17"/>
        </w:rPr>
        <w:t xml:space="preserve">STRICTLY CONFIDENTIAL — FOR QUALIFIED INVESTORS ONLY</w:t>
      </w:r>
    </w:p>
    <w:p>
      <w:pPr>
        <w:jc w:val="center"/>
      </w:pPr>
      <w:r>
        <w:rPr>
          <w:rFonts w:ascii="Arial" w:cs="Arial" w:eastAsia="Arial" w:hAnsi="Arial"/>
          <w:color w:val="8A6A10"/>
          <w:sz w:val="20"/>
          <w:szCs w:val="20"/>
        </w:rPr>
        <w:t xml:space="preserve">partnerships@lf-hold.com  ·  lf-hold.com  ·  +1 (307) 226-1876</w:t>
      </w:r>
    </w:p>
    <w:p>
      <w:pPr>
        <w:spacing w:after="0" w:before="600"/>
      </w:pPr>
    </w:p>
    <w:p>
      <w:r>
        <w:br w:type="page"/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CDA832"/>
          <w:spacing w:val="80"/>
          <w:sz w:val="18"/>
          <w:szCs w:val="18"/>
        </w:rPr>
        <w:t xml:space="preserve">PROGRAM AT A GLANCE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0C1828"/>
          <w:sz w:val="36"/>
          <w:szCs w:val="36"/>
        </w:rPr>
        <w:t xml:space="preserve">IECI — Key Investment Metrics</w:t>
      </w:r>
    </w:p>
    <w:p>
      <w:pPr>
        <w:pBdr>
          <w:bottom w:val="single" w:color="CDA832" w:sz="6" w:space="1"/>
        </w:pBdr>
        <w:spacing w:after="0" w:before="0"/>
      </w:pP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8A6A10"/>
                <w:sz w:val="34"/>
                <w:szCs w:val="34"/>
              </w:rPr>
              <w:t xml:space="preserve">$137.6M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Total Program CAPEX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8A6A10"/>
                <w:sz w:val="34"/>
                <w:szCs w:val="34"/>
              </w:rPr>
              <w:t xml:space="preserve">18.4%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Blended Program IRR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8A6A10"/>
                <w:sz w:val="34"/>
                <w:szCs w:val="34"/>
              </w:rPr>
              <w:t xml:space="preserve">12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Innovation Hubs (12 Departments)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8A6A10"/>
                <w:sz w:val="34"/>
                <w:szCs w:val="34"/>
              </w:rPr>
              <w:t xml:space="preserve">60,000+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Direct Jobs Created</w:t>
            </w:r>
          </w:p>
        </w:tc>
      </w:tr>
    </w:tbl>
    <w:p>
      <w:pPr>
        <w:spacing w:after="0" w:before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8A6A10"/>
                <w:sz w:val="34"/>
                <w:szCs w:val="34"/>
              </w:rPr>
              <w:t xml:space="preserve">$4–6B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Projected GDP Impact (10 years)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8A6A10"/>
                <w:sz w:val="34"/>
                <w:szCs w:val="34"/>
              </w:rPr>
              <w:t xml:space="preserve">24.3%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DAKIMO Equity IRR (Direct)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8A6A10"/>
                <w:sz w:val="34"/>
                <w:szCs w:val="34"/>
              </w:rPr>
              <w:t xml:space="preserve">31.2%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DAKIMO All-In Economic IRR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8A6A10"/>
                <w:sz w:val="34"/>
                <w:szCs w:val="34"/>
              </w:rPr>
              <w:t xml:space="preserve">Year 4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Hub-Level Break-Even</w:t>
            </w:r>
          </w:p>
        </w:tc>
      </w:tr>
    </w:tbl>
    <w:p>
      <w:pPr>
        <w:spacing w:after="0" w:before="8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CDA832"/>
          <w:spacing w:val="80"/>
          <w:sz w:val="18"/>
          <w:szCs w:val="18"/>
        </w:rPr>
        <w:t xml:space="preserve">EXECUTIVE SUMMARY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0C1828"/>
          <w:sz w:val="36"/>
          <w:szCs w:val="36"/>
        </w:rPr>
        <w:t xml:space="preserve">The Opportunity in One Sentence</w:t>
      </w:r>
    </w:p>
    <w:p>
      <w:pPr>
        <w:pBdr>
          <w:bottom w:val="single" w:color="CDA832" w:sz="6" w:space="1"/>
        </w:pBdr>
        <w:spacing w:after="0" w:before="0"/>
      </w:pPr>
    </w:p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8D47A" w:sz="1"/>
              <w:left w:val="thick" w:color="CDA832" w:sz="20"/>
              <w:bottom w:val="single" w:color="E8D47A" w:sz="1"/>
              <w:right w:val="single" w:color="E8D47A" w:sz="1"/>
            </w:tcBorders>
            <w:shd w:fill="FBF5E0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A6A10"/>
                <w:spacing w:val="60"/>
                <w:sz w:val="18"/>
                <w:szCs w:val="18"/>
              </w:rPr>
              <w:t xml:space="preserve">INVESTMENT THESIS</w:t>
            </w:r>
          </w:p>
          <w:p>
            <w:pPr>
              <w:jc w:val="both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IECI is a government-backed, DFI-financed network of 12 innovation and agro-industrial hubs across Benin's 12 departments — designed to transform the country's commodity-export economy into a value-added processing and technology manufacturing powerhouse, creating 60,000+ direct jobs and $4–6B in GDP impact over 10 years, while delivering an 18.4% blended IRR to private co-investors.</w:t>
            </w:r>
          </w:p>
        </w:tc>
      </w:tr>
    </w:tbl>
    <w:p>
      <w:pPr>
        <w:spacing w:after="0" w:before="80"/>
      </w:pPr>
    </w:p>
    <w:p>
      <w:pPr>
        <w:spacing w:after="60" w:before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4A4A"/>
          <w:sz w:val="21"/>
          <w:szCs w:val="21"/>
        </w:rPr>
        <w:t xml:space="preserve">Benin is at an inflection point. The government has committed $35B+ under its Government Action Program (PAG I &amp; II), GDP is growing at 7.5% annually, and the Glo-Djigbé Industrial Zone (GDIZ) has already demonstrated the model — creating 14,000+ jobs since inception. IECI replicates and scales this model across all 12 departments, targeting sectors from cassava and cashew processing to aquaculture, leather goods, and technology manufacturing.</w:t>
      </w:r>
    </w:p>
    <w:p>
      <w:pPr>
        <w:spacing w:after="0" w:before="120"/>
      </w:pPr>
    </w:p>
    <w:p>
      <w:pPr>
        <w:spacing w:after="60" w:before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4A4A"/>
          <w:sz w:val="21"/>
          <w:szCs w:val="21"/>
        </w:rPr>
        <w:t xml:space="preserve">What makes IECI structurally different from typical development programs: it is not a grant. It is a Build-Operate-Transfer (BOT) public-private partnership where private investors hold equity in Hub SPVs, earn processing royalties, lease revenues, and carried interest on SME portfolio exits — while the government provides land, infrastructure connections, and regulatory incentives.</w:t>
      </w:r>
    </w:p>
    <w:p>
      <w:pPr>
        <w:spacing w:after="0" w:before="4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0C1828"/>
          <w:sz w:val="26"/>
          <w:szCs w:val="26"/>
        </w:rPr>
        <w:t xml:space="preserve">Why Now</w:t>
      </w:r>
    </w:p>
    <w:p>
      <w:pPr>
        <w:spacing w:after="60" w:before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4A4A"/>
          <w:sz w:val="21"/>
          <w:szCs w:val="21"/>
        </w:rPr>
        <w:t xml:space="preserve">Benin's 2026 presidential transition creates a narrow window to secure program architecture and anchor investor commitments before a new administration re-prioritizes its development agenda. IECI is positioned as an apolitical economic competitiveness program with cross-party appeal — backed by DFI endorsements that survive government transitions. The window to enter as a foundational co-investor closes in 2026–2027.</w:t>
      </w:r>
    </w:p>
    <w:p>
      <w:r>
        <w:br w:type="page"/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CDA832"/>
          <w:spacing w:val="80"/>
          <w:sz w:val="18"/>
          <w:szCs w:val="18"/>
        </w:rPr>
        <w:t xml:space="preserve">PROGRAM ARCHITECTURE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0C1828"/>
          <w:sz w:val="36"/>
          <w:szCs w:val="36"/>
        </w:rPr>
        <w:t xml:space="preserve">Structure &amp; Legal Framework</w:t>
      </w:r>
    </w:p>
    <w:p>
      <w:pPr>
        <w:pBdr>
          <w:bottom w:val="single" w:color="CDA832" w:sz="6" w:space="1"/>
        </w:pBdr>
        <w:spacing w:after="0" w:before="0"/>
      </w:pPr>
    </w:p>
    <w:p>
      <w:pPr>
        <w:spacing w:after="0" w:before="60"/>
      </w:pPr>
    </w:p>
    <w:p>
      <w:pPr>
        <w:spacing w:after="40" w:before="160"/>
      </w:pPr>
      <w:r>
        <w:rPr>
          <w:rFonts w:ascii="Arial" w:cs="Arial" w:eastAsia="Arial" w:hAnsi="Arial"/>
          <w:b/>
          <w:bCs/>
          <w:color w:val="8A6A10"/>
          <w:sz w:val="22"/>
          <w:szCs w:val="22"/>
        </w:rPr>
        <w:t xml:space="preserve">Entity Structure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IECI National Authority (INA)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Public Establishment (EPIC) — Republic of Benin. Sovereign program vehicle; holds land rights; issues government guarantees; DFI counterpart.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Program Management Unit (PMU)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Subsidiary SA — Cotonou, Benin. Operational management, procurement, monitoring &amp; evaluation, technical assistance contracting.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Hub SPVs (×12)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One SARL per department — Asset-holding, revenue collection, local PPP governance, hub P&amp;L accountability.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IECI Diaspora Bond Vehicle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Special Purpose Vehicle (OHADA). Issuance and administration of 5-year Diaspora Innovation Bonds. Ring-fenced from PMU.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DAKIMO Investment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LLC — Wyoming, USA. Technical assistance, international fundraising, brand and IP, global investor liaison. Founding Technical Sponsor &amp; Co-Investor.</w:t>
            </w:r>
          </w:p>
        </w:tc>
      </w:tr>
    </w:tbl>
    <w:p>
      <w:pPr>
        <w:spacing w:after="0" w:before="80"/>
      </w:pPr>
    </w:p>
    <w:p>
      <w:pPr>
        <w:spacing w:after="40" w:before="160"/>
      </w:pPr>
      <w:r>
        <w:rPr>
          <w:rFonts w:ascii="Arial" w:cs="Arial" w:eastAsia="Arial" w:hAnsi="Arial"/>
          <w:b/>
          <w:bCs/>
          <w:color w:val="8A6A10"/>
          <w:sz w:val="22"/>
          <w:szCs w:val="22"/>
        </w:rPr>
        <w:t xml:space="preserve">PPP Framework</w:t>
      </w:r>
    </w:p>
    <w:p>
      <w:pPr>
        <w:spacing w:after="60" w:before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4A4A"/>
          <w:sz w:val="21"/>
          <w:szCs w:val="21"/>
        </w:rPr>
        <w:t xml:space="preserve">Each hub is structured as a Build-Operate-Transfer (BOT) variant: government provides land and public infrastructure (roads, utilities), while private partners finance and operate hub facilities under a 25-year concession. At Year 25, infrastructure reverts to the state while the private entity retains its SME portfolio companies.</w:t>
      </w:r>
    </w:p>
    <w:p>
      <w:pPr>
        <w:spacing w:after="0" w:before="120"/>
      </w:pPr>
    </w:p>
    <w:p>
      <w:pPr>
        <w:spacing w:after="60" w:before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4A4A"/>
          <w:sz w:val="21"/>
          <w:szCs w:val="21"/>
        </w:rPr>
        <w:t xml:space="preserve">Hub SPV equity split: 30% INA (government), 40% anchor private investors, 20% DAKIMO/PMU, 10% departmental municipality.</w:t>
      </w:r>
    </w:p>
    <w:p>
      <w:pPr>
        <w:spacing w:after="0" w:before="4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0C1828"/>
          <w:sz w:val="26"/>
          <w:szCs w:val="26"/>
        </w:rPr>
        <w:t xml:space="preserve">12-Hub Geographic Coverage</w:t>
      </w:r>
    </w:p>
    <w:p>
      <w:pPr>
        <w:spacing w:after="60" w:before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4A4A"/>
          <w:sz w:val="21"/>
          <w:szCs w:val="21"/>
        </w:rPr>
        <w:t xml:space="preserve">One hub per department, each anchored to the department's primary agricultural and industrial comparative advantage:</w:t>
      </w:r>
    </w:p>
    <w:p>
      <w:pPr>
        <w:spacing w:after="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Zou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Cassava processing, pineapple, palm oil — Pilot Hub 1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Borgou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Cashew, cotton ginning, shea butter — Pilot Hub 2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Atlantique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Aquaculture (tilapia), tomato paste, tech assembly — Pilot Hub 3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Atacora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Black fonio (premium export), hibiscus, organic cotton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Alibori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Moringa processing, gum arabic, sesame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Collines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Yam value chain, soybeans, cassava starch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Couffo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Vetiver essential oil, palm kernel processing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Donga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Wood value-added products, charcoal alternatives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Littoral / Cotonou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Black soldier fly protein, logistics &amp; packaging hub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Mono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Artisanal sea salt, seaweed cultivation, shrimp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Ouémé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Turmeric &amp; ginger processing, rice milling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Plateau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Citrus processing, mango drying, cashew kernel</w:t>
            </w:r>
          </w:p>
        </w:tc>
      </w:tr>
    </w:tbl>
    <w:p>
      <w:r>
        <w:br w:type="page"/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CDA832"/>
          <w:spacing w:val="80"/>
          <w:sz w:val="18"/>
          <w:szCs w:val="18"/>
        </w:rPr>
        <w:t xml:space="preserve">FINANCIAL SUMMARY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0C1828"/>
          <w:sz w:val="36"/>
          <w:szCs w:val="36"/>
        </w:rPr>
        <w:t xml:space="preserve">Returns &amp; Capital Structure</w:t>
      </w:r>
    </w:p>
    <w:p>
      <w:pPr>
        <w:pBdr>
          <w:bottom w:val="single" w:color="CDA832" w:sz="6" w:space="1"/>
        </w:pBdr>
        <w:spacing w:after="0" w:before="0"/>
      </w:pPr>
    </w:p>
    <w:p>
      <w:pPr>
        <w:spacing w:after="0" w:before="60"/>
      </w:pPr>
    </w:p>
    <w:p>
      <w:pPr>
        <w:spacing w:after="40" w:before="160"/>
      </w:pPr>
      <w:r>
        <w:rPr>
          <w:rFonts w:ascii="Arial" w:cs="Arial" w:eastAsia="Arial" w:hAnsi="Arial"/>
          <w:b/>
          <w:bCs/>
          <w:color w:val="8A6A10"/>
          <w:sz w:val="22"/>
          <w:szCs w:val="22"/>
        </w:rPr>
        <w:t xml:space="preserve">Program CAPEX — $137.6M Total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Phase 0 — Setup (2026)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$2.4M — PMU establishment, legal, feasibility, anchor LOIs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Phase 1 — 3 Pilot Hubs (2027–2028)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$25.4M — Zou, Borgou, Atlantique (CAPEX per hub: ~$8.47M)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Phase 2 — 6 Hubs (2029–2031)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$50.8M — Atacora, Alibori, Collines, Couffo, Donga, Ouémé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Phase 3 — 3 Hubs (2032–2034)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$25.4M — Plateau, Mono, Littoral expansion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SME Seed Fund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$12.0M — Equity seed capital for 2,400 SMEs across all hubs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Working Capital Reserve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$8.0M — PMU operations, contingency, DFI compliance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Total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$137.6M over 8 years</w:t>
            </w:r>
          </w:p>
        </w:tc>
      </w:tr>
    </w:tbl>
    <w:p>
      <w:pPr>
        <w:spacing w:after="0" w:before="60"/>
      </w:pPr>
    </w:p>
    <w:p>
      <w:pPr>
        <w:spacing w:after="40" w:before="160"/>
      </w:pPr>
      <w:r>
        <w:rPr>
          <w:rFonts w:ascii="Arial" w:cs="Arial" w:eastAsia="Arial" w:hAnsi="Arial"/>
          <w:b/>
          <w:bCs/>
          <w:color w:val="8A6A10"/>
          <w:sz w:val="22"/>
          <w:szCs w:val="22"/>
        </w:rPr>
        <w:t xml:space="preserve">Capital Sources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AfDB / IDA Sovereign Loan (35%)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$48.2M — On-lending to Hub SPVs against government guarantee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IFAD / FAO Concessional Financing (20%)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$27.5M — Agricultural processing components, soft terms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Anchor Private Investors (30%)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$41.3M — PE funds, diaspora capital, strategic industrialists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Diaspora Innovation Bonds (10%)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$13.8M — 5-year bonds, 7% coupon, BCEAO-compliant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DAKIMO Co-Investment (5%)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$6.9M — Equity + bridge; $3.6M in direct Hub SPV stakes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Government In-Kind (land + infra) (n/a)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~$27.5M value — land title transfer + public infrastructure</w:t>
            </w:r>
          </w:p>
        </w:tc>
      </w:tr>
    </w:tbl>
    <w:p>
      <w:pPr>
        <w:spacing w:after="0" w:before="60"/>
      </w:pPr>
    </w:p>
    <w:p>
      <w:pPr>
        <w:spacing w:after="40" w:before="160"/>
      </w:pPr>
      <w:r>
        <w:rPr>
          <w:rFonts w:ascii="Arial" w:cs="Arial" w:eastAsia="Arial" w:hAnsi="Arial"/>
          <w:b/>
          <w:bCs/>
          <w:color w:val="8A6A10"/>
          <w:sz w:val="22"/>
          <w:szCs w:val="22"/>
        </w:rPr>
        <w:t xml:space="preserve">Investor Returns (Base Case)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Anchor Private Investor IRR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22–26% — equity in Hub SPVs, processing royalties, lease income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Blended Program IRR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18.4% — across all capital sources weighted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DAKIMO Equity IRR (direct stake)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24.3% — base; 30.1% optimistic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DAKIMO All-In Economic IRR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31.2% — equity + management fees + carry + IP replication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Hub-Level Break-Even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Year 4 (base); Year 3.1 (optimistic); Year 4.5 (conservative revised)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Benefit-Cost Ratio (govt. investment)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3.4× (Year 5) → 19.9× (Year 10, as hubs mature)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DAKIMO Total Economic Stake (Year 10)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$11.5M–$18.9M on $3.6M deployed (4.1× base / 314% ROI)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8D47A" w:sz="1"/>
              <w:left w:val="thick" w:color="CDA832" w:sz="20"/>
              <w:bottom w:val="single" w:color="E8D47A" w:sz="1"/>
              <w:right w:val="single" w:color="E8D47A" w:sz="1"/>
            </w:tcBorders>
            <w:shd w:fill="FBF5E0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A6A10"/>
                <w:spacing w:val="60"/>
                <w:sz w:val="18"/>
                <w:szCs w:val="18"/>
              </w:rPr>
              <w:t xml:space="preserve">NOTE ON FINANCIAL PROJECTIONS</w:t>
            </w:r>
          </w:p>
          <w:p>
            <w:pPr>
              <w:jc w:val="both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Financial figures are modeled using DFI-standard conventions and regional benchmarks (Rwanda SEZs, Ethiopian Hawassa IP, GDIZ Benin, World Bank West Africa Competitiveness Program). They represent investment-grade planning estimates, not audited forecasts. Full financial model with assumption sources, validation roadmap, and sensitivity analysis available in the complete IECI Investment Proposal — available to qualified investors on request.</w:t>
            </w:r>
          </w:p>
        </w:tc>
      </w:tr>
    </w:tbl>
    <w:p>
      <w:r>
        <w:br w:type="page"/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CDA832"/>
          <w:spacing w:val="80"/>
          <w:sz w:val="18"/>
          <w:szCs w:val="18"/>
        </w:rPr>
        <w:t xml:space="preserve">SPONSORING ENTITY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0C1828"/>
          <w:sz w:val="36"/>
          <w:szCs w:val="36"/>
        </w:rPr>
        <w:t xml:space="preserve">DAKIMO's Role &amp; Alignment</w:t>
      </w:r>
    </w:p>
    <w:p>
      <w:pPr>
        <w:pBdr>
          <w:bottom w:val="single" w:color="CDA832" w:sz="6" w:space="1"/>
        </w:pBdr>
        <w:spacing w:after="0" w:before="0"/>
      </w:pPr>
    </w:p>
    <w:p>
      <w:pPr>
        <w:spacing w:after="0" w:before="60"/>
      </w:pPr>
    </w:p>
    <w:p>
      <w:pPr>
        <w:spacing w:after="60" w:before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4A4A"/>
          <w:sz w:val="21"/>
          <w:szCs w:val="21"/>
        </w:rPr>
        <w:t xml:space="preserve">DAKIMO Investment (a subsidiary of LF Holdings, LLC) serves as Founding Technical Sponsor and Co-Investor. This is not a passive advisory role — DAKIMO has structural incentives tied directly to program performance:</w:t>
      </w:r>
    </w:p>
    <w:p>
      <w:pPr>
        <w:spacing w:after="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Direct Equity Co-Investment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20% PMU SA stake + 5–10% direct equity per Hub SPV. $3.6M deployed over Phase 0–1, pari passu with anchor investors.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PMU Management Contract (10-year)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$192K/year fixed fee for technical sponsorship and PMU leadership. Paid from program operating budget, ceases if PMU is fully nationalized after Year 7.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Performance Bonus (KPI-linked)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$0.5M–$1.2M cumulative, triggered by hub opening milestones, job creation KPIs, DFI audit clean opinions, and first export shipment.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Carried Interest on SME Exits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15% carry above 1.2× hurdle on 2,400 SME equity portfolio. Receivable from Year 5 onward. Estimated $2.5M–$5M over program life.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ECOWAS Replication Rights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DAKIMO retains rights to replicate the IECI model in Togo, Ghana, Niger, and Senegal — estimated $3M–$8M in advisory fees and equity stakes in successor programs.</w:t>
            </w:r>
          </w:p>
        </w:tc>
      </w:tr>
    </w:tbl>
    <w:p>
      <w:r>
        <w:br w:type="page"/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CDA832"/>
          <w:spacing w:val="80"/>
          <w:sz w:val="18"/>
          <w:szCs w:val="18"/>
        </w:rPr>
        <w:t xml:space="preserve">MARKET CONTEXT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0C1828"/>
          <w:sz w:val="36"/>
          <w:szCs w:val="36"/>
        </w:rPr>
        <w:t xml:space="preserve">Benin Macro &amp; Why This Market</w:t>
      </w:r>
    </w:p>
    <w:p>
      <w:pPr>
        <w:pBdr>
          <w:bottom w:val="single" w:color="CDA832" w:sz="6" w:space="1"/>
        </w:pBdr>
        <w:spacing w:after="0" w:before="0"/>
      </w:pPr>
    </w:p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GDP Growth (2024)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7.5% — driven by port, construction, and services (IMF/World Bank)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Political Stability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Democratic transitions since 1990; peaceful 2026 presidential election scheduled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DFI Active Portfolio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IFC: $60.8M active in Benin; IFC committed EUR 20M to Benin Terminal (Nov 2024)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World Bank Financing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EUR 635.5M approved package (Nov 2024) — validates macroeconomic credibility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GDIZ Precedent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14,000+ jobs created; $9.7B government urban infrastructure program underway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Investment Code Incentives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5–8 year CIT holiday; import duty exemptions on equipment; unrestricted profit repatriation in USD/EUR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ECOWAS Market Access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420M+ consumer market; Benin as gateway between Nigeria (220M) and Francophone West Africa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BCEAO Monetary Union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CFA franc — pegged to EUR, eliminating FX risk for European investors; stable monetary environment</w:t>
            </w:r>
          </w:p>
        </w:tc>
      </w:tr>
    </w:tbl>
    <w:p>
      <w:r>
        <w:br w:type="page"/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CDA832"/>
          <w:spacing w:val="80"/>
          <w:sz w:val="18"/>
          <w:szCs w:val="18"/>
        </w:rPr>
        <w:t xml:space="preserve">NEXT STEPS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0C1828"/>
          <w:sz w:val="36"/>
          <w:szCs w:val="36"/>
        </w:rPr>
        <w:t xml:space="preserve">How to Engage</w:t>
      </w:r>
    </w:p>
    <w:p>
      <w:pPr>
        <w:pBdr>
          <w:bottom w:val="single" w:color="CDA832" w:sz="6" w:space="1"/>
        </w:pBdr>
        <w:spacing w:after="0" w:before="0"/>
      </w:pPr>
    </w:p>
    <w:p>
      <w:pPr>
        <w:spacing w:after="0" w:before="60"/>
      </w:pPr>
    </w:p>
    <w:p>
      <w:pPr>
        <w:spacing w:after="60" w:before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4A4A"/>
          <w:sz w:val="21"/>
          <w:szCs w:val="21"/>
        </w:rPr>
        <w:t xml:space="preserve">The IECI program is currently in Phase 0 — program architecture finalization, anchor investor engagement, and government authorization. Investor participation is available at the following levels:</w:t>
      </w:r>
    </w:p>
    <w:p>
      <w:pPr>
        <w:spacing w:after="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Anchor Hub Investor ($3M–$8M per hub)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40% Hub SPV equity stake; naming rights; anchor tenant recruitment priority; board seat on Hub SPV investment committee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Program Co-Investor ($1M–$3M)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Across-program exposure; participation in 3+ Hub SPVs; diaspora bond allocation; quarterly reporting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Diaspora Bond Investor ($50K–$500K)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5-year bonds, 7% annual coupon, BCEAO-compliant; accessible to diaspora investors in US, France, Canada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Strategic Anchor Tenant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Processing plant operator or off-taker; preferential lease terms; equity co-investment option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8D47A" w:sz="1"/>
              <w:left w:val="thick" w:color="CDA832" w:sz="20"/>
              <w:bottom w:val="single" w:color="E8D47A" w:sz="1"/>
              <w:right w:val="single" w:color="E8D47A" w:sz="1"/>
            </w:tcBorders>
            <w:shd w:fill="FBF5E0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A6A10"/>
                <w:spacing w:val="60"/>
                <w:sz w:val="18"/>
                <w:szCs w:val="18"/>
              </w:rPr>
              <w:t xml:space="preserve">REQUEST THE FULL INVESTMENT PROPOSAL</w:t>
            </w:r>
          </w:p>
          <w:p>
            <w:pPr>
              <w:jc w:val="both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The complete IECI Investment Proposal (60+ pages) includes detailed financial models, assumption validation annex, agricultural sector analysis, legal structure documentation, DFI engagement strategy, and target investor profiles. Contact us to receive the full document under NDA.</w:t>
            </w:r>
          </w:p>
        </w:tc>
      </w:tr>
    </w:tbl>
    <w:p>
      <w:pPr>
        <w:spacing w:after="0" w:before="80"/>
      </w:pPr>
    </w:p>
    <w:p>
      <w:pPr>
        <w:spacing w:after="40" w:before="160"/>
      </w:pPr>
      <w:r>
        <w:rPr>
          <w:rFonts w:ascii="Arial" w:cs="Arial" w:eastAsia="Arial" w:hAnsi="Arial"/>
          <w:b/>
          <w:bCs/>
          <w:color w:val="8A6A10"/>
          <w:sz w:val="22"/>
          <w:szCs w:val="22"/>
        </w:rPr>
        <w:t xml:space="preserve">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Email (Partnerships)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partnerships@lf-hold.com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Email (General)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contact@lf-hold.com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Website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lf-hold.com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Phone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+ 1 (307) 226-1876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DUPM &amp; Co. (Deal Flow)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AFAF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partnership@dupmco.com  ·  dupmco.com</w:t>
            </w:r>
          </w:p>
        </w:tc>
      </w:tr>
      <w:tr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C1828"/>
                <w:sz w:val="20"/>
                <w:szCs w:val="20"/>
              </w:rPr>
              <w:t xml:space="preserve">Operating Offices</w:t>
            </w:r>
          </w:p>
        </w:tc>
        <w:tc>
          <w:tcPr>
            <w:tcBorders>
              <w:top w:val="single" w:color="E0D8C8" w:sz="1"/>
              <w:left w:val="single" w:color="E0D8C8" w:sz="1"/>
              <w:bottom w:val="single" w:color="E0D8C8" w:sz="1"/>
              <w:right w:val="single" w:color="E0D8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Boston, MA  ·  Cotonou, Benin  ·  Abidjan, Côte d'Ivoire</w:t>
            </w:r>
          </w:p>
        </w:tc>
      </w:tr>
    </w:tbl>
    <w:p>
      <w:pPr>
        <w:spacing w:after="0" w:before="80"/>
      </w:pPr>
    </w:p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color w:val="888888"/>
          <w:spacing w:val="40"/>
          <w:sz w:val="17"/>
          <w:szCs w:val="17"/>
        </w:rPr>
        <w:t xml:space="preserve">STRICTLY CONFIDENTIAL — FOR QUALIFIED INVESTORS ONLY</w:t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888888"/>
          <w:sz w:val="18"/>
          <w:szCs w:val="18"/>
        </w:rPr>
        <w:t xml:space="preserve">© 2026 LF Holdings, LLC. All rights reserved. This document is for informational purposes only and does not constitute an offer to sell or a solicitation to buy any security. Past performance is not indicative of future results. All financial projections are modeled estimates and subject to change.</w:t>
      </w:r>
    </w:p>
    <w:sectPr>
      <w:pgSz w:w="12240" w:h="15840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2026-06-10T13:28:34.197Z</dcterms:created>
  <dcterms:modified xsi:type="dcterms:W3CDTF">2026-06-10T13:28:34.214Z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